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12AB852C"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C5C0E">
        <w:rPr>
          <w:b/>
          <w:sz w:val="24"/>
          <w:szCs w:val="24"/>
        </w:rPr>
        <w:t>5</w:t>
      </w:r>
      <w:r w:rsidR="007B2543" w:rsidRPr="00346E20">
        <w:rPr>
          <w:b/>
          <w:sz w:val="24"/>
          <w:szCs w:val="24"/>
        </w:rPr>
        <w:t>/202</w:t>
      </w:r>
      <w:r w:rsidR="00BC5C0E">
        <w:rPr>
          <w:b/>
          <w:sz w:val="24"/>
          <w:szCs w:val="24"/>
        </w:rPr>
        <w:t>6</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o, i seguenti servizi pre</w:t>
      </w:r>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r w:rsidR="002F51C5" w:rsidRPr="00346E20">
        <w:rPr>
          <w:sz w:val="24"/>
          <w:szCs w:val="24"/>
        </w:rPr>
        <w:t>pre-ruolo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r w:rsidR="00B61EF3" w:rsidRPr="00346E20">
        <w:rPr>
          <w:sz w:val="24"/>
          <w:szCs w:val="24"/>
        </w:rPr>
        <w:t>pre-ruolo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r w:rsidR="00B61EF3" w:rsidRPr="00346E20">
        <w:rPr>
          <w:sz w:val="24"/>
          <w:szCs w:val="24"/>
        </w:rPr>
        <w:t>pre-ruolo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r w:rsidR="00B61EF3" w:rsidRPr="003130F8">
        <w:rPr>
          <w:sz w:val="24"/>
          <w:szCs w:val="24"/>
        </w:rPr>
        <w:t>pre-ruolo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dall’a.s. </w:t>
      </w:r>
      <w:r w:rsidR="00B61EF3">
        <w:rPr>
          <w:sz w:val="24"/>
          <w:szCs w:val="24"/>
        </w:rPr>
        <w:t>19</w:t>
      </w:r>
      <w:r w:rsidR="00462D92" w:rsidRPr="00346E20">
        <w:rPr>
          <w:sz w:val="24"/>
          <w:szCs w:val="24"/>
        </w:rPr>
        <w:t xml:space="preserve">92/93 e fino all’a.s.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w:t>
      </w:r>
      <w:r w:rsidR="00B61EF3">
        <w:rPr>
          <w:sz w:val="24"/>
          <w:szCs w:val="24"/>
        </w:rPr>
        <w:t>19</w:t>
      </w:r>
      <w:r w:rsidR="00262DD1" w:rsidRPr="00346E20">
        <w:rPr>
          <w:sz w:val="24"/>
          <w:szCs w:val="24"/>
        </w:rPr>
        <w:t xml:space="preserve">92/93 e fino </w:t>
      </w:r>
      <w:r w:rsidRPr="00346E20">
        <w:rPr>
          <w:sz w:val="24"/>
          <w:szCs w:val="24"/>
        </w:rPr>
        <w:t xml:space="preserve">all’a.s.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dall’a.s.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r w:rsidR="008F1096" w:rsidRPr="00346E20">
        <w:rPr>
          <w:sz w:val="24"/>
          <w:szCs w:val="24"/>
        </w:rPr>
        <w:t>pre-ruolo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gramStart"/>
      <w:r w:rsidRPr="0051162C">
        <w:rPr>
          <w:sz w:val="24"/>
          <w:szCs w:val="24"/>
        </w:rPr>
        <w:t>d.o.s..</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r w:rsidR="00F20E8F" w:rsidRPr="0051162C">
        <w:rPr>
          <w:sz w:val="24"/>
          <w:szCs w:val="24"/>
        </w:rPr>
        <w:t>pre-ruolo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r w:rsidR="00C10C55" w:rsidRPr="00346E20">
        <w:rPr>
          <w:sz w:val="24"/>
          <w:szCs w:val="24"/>
        </w:rPr>
        <w:t xml:space="preserve">pre-ruolo.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a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B) per ogni anno di servizio pre-ruolo,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per ogni anno di servizio sia di ruolo che di pre-ruolo,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3D0C" w14:textId="77777777" w:rsidR="006F4BCF" w:rsidRDefault="006F4BCF">
      <w:r>
        <w:separator/>
      </w:r>
    </w:p>
  </w:endnote>
  <w:endnote w:type="continuationSeparator" w:id="0">
    <w:p w14:paraId="01F3B9DF" w14:textId="77777777" w:rsidR="006F4BCF" w:rsidRDefault="006F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BEFD" w14:textId="77777777" w:rsidR="006F4BCF" w:rsidRDefault="006F4BCF">
      <w:r>
        <w:separator/>
      </w:r>
    </w:p>
  </w:footnote>
  <w:footnote w:type="continuationSeparator" w:id="0">
    <w:p w14:paraId="4175BA6D" w14:textId="77777777" w:rsidR="006F4BCF" w:rsidRDefault="006F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955D5"/>
    <w:rsid w:val="006A1E2D"/>
    <w:rsid w:val="006A36A8"/>
    <w:rsid w:val="006A5758"/>
    <w:rsid w:val="006B290A"/>
    <w:rsid w:val="006B5D63"/>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Carmina Andrisani</cp:lastModifiedBy>
  <cp:revision>2</cp:revision>
  <cp:lastPrinted>2017-02-28T07:23:00Z</cp:lastPrinted>
  <dcterms:created xsi:type="dcterms:W3CDTF">2025-03-06T08:16:00Z</dcterms:created>
  <dcterms:modified xsi:type="dcterms:W3CDTF">2025-03-06T08:16:00Z</dcterms:modified>
</cp:coreProperties>
</file>